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1E0F7">
      <w:pPr>
        <w:spacing w:before="312" w:beforeLines="100" w:after="312" w:afterLines="10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航海技术</w:t>
      </w:r>
      <w:r>
        <w:rPr>
          <w:rFonts w:ascii="微软雅黑" w:hAnsi="微软雅黑" w:eastAsia="微软雅黑"/>
          <w:b/>
          <w:sz w:val="36"/>
          <w:szCs w:val="36"/>
        </w:rPr>
        <w:t>专业</w:t>
      </w:r>
    </w:p>
    <w:p w14:paraId="535D3975">
      <w:pPr>
        <w:spacing w:before="312" w:beforeLines="100" w:after="312" w:afterLines="100"/>
        <w:jc w:val="center"/>
        <w:rPr>
          <w:rFonts w:ascii="微软雅黑" w:hAnsi="微软雅黑" w:eastAsia="微软雅黑"/>
          <w:b/>
          <w:sz w:val="36"/>
          <w:szCs w:val="36"/>
        </w:rPr>
      </w:pPr>
      <w:bookmarkStart w:id="31" w:name="_GoBack"/>
      <w:bookmarkEnd w:id="31"/>
      <w:r>
        <w:rPr>
          <w:rFonts w:hint="eastAsia" w:ascii="微软雅黑" w:hAnsi="微软雅黑" w:eastAsia="微软雅黑"/>
          <w:b/>
          <w:sz w:val="36"/>
          <w:szCs w:val="36"/>
        </w:rPr>
        <w:t>转专业录取办法</w:t>
      </w:r>
    </w:p>
    <w:p w14:paraId="202909CF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bookmarkStart w:id="0" w:name="_Toc396497634"/>
      <w:bookmarkStart w:id="1" w:name="_Toc396497526"/>
      <w:bookmarkStart w:id="2" w:name="_Toc396497324"/>
      <w:bookmarkStart w:id="3" w:name="_Toc396501700"/>
      <w:bookmarkStart w:id="4" w:name="_Toc393236437"/>
      <w:r>
        <w:rPr>
          <w:rFonts w:hint="eastAsia" w:ascii="Times New Roman"/>
          <w:sz w:val="28"/>
          <w:szCs w:val="28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学籍管理办法》制定本办法。</w:t>
      </w:r>
    </w:p>
    <w:p w14:paraId="14E25151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一、专业基本信息</w:t>
      </w:r>
      <w:bookmarkEnd w:id="0"/>
      <w:bookmarkEnd w:id="1"/>
      <w:bookmarkEnd w:id="2"/>
      <w:bookmarkEnd w:id="3"/>
      <w:bookmarkEnd w:id="4"/>
    </w:p>
    <w:p w14:paraId="4B64923B">
      <w:pPr>
        <w:pStyle w:val="3"/>
        <w:spacing w:before="156" w:after="156"/>
        <w:ind w:firstLine="0" w:firstLineChars="0"/>
        <w:rPr>
          <w:rFonts w:ascii="微软雅黑" w:hAnsi="微软雅黑" w:eastAsia="微软雅黑"/>
          <w:b/>
          <w:color w:val="auto"/>
        </w:rPr>
      </w:pPr>
      <w:bookmarkStart w:id="5" w:name="_Toc396497325"/>
      <w:bookmarkStart w:id="6" w:name="_Toc393236438"/>
      <w:bookmarkStart w:id="7" w:name="_Toc396497635"/>
      <w:bookmarkStart w:id="8" w:name="_Toc396501701"/>
      <w:bookmarkStart w:id="9" w:name="_Toc396497527"/>
      <w:r>
        <w:rPr>
          <w:rFonts w:ascii="微软雅黑" w:hAnsi="微软雅黑" w:eastAsia="微软雅黑"/>
          <w:b/>
          <w:color w:val="auto"/>
        </w:rPr>
        <w:t>（一）专业名称</w:t>
      </w:r>
      <w:bookmarkEnd w:id="5"/>
      <w:bookmarkEnd w:id="6"/>
      <w:bookmarkEnd w:id="7"/>
      <w:bookmarkEnd w:id="8"/>
      <w:bookmarkEnd w:id="9"/>
    </w:p>
    <w:p w14:paraId="7FF2E936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航海技术专业   专业代码 500301</w:t>
      </w:r>
    </w:p>
    <w:p w14:paraId="2A22FD58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）人才培养目标</w:t>
      </w:r>
    </w:p>
    <w:p w14:paraId="73B007AF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ascii="Times New Roman"/>
          <w:sz w:val="28"/>
          <w:szCs w:val="28"/>
        </w:rPr>
        <w:t>本专业培养具有社会主义核心价值观，德、智、体、美、劳全面发展，具有家国情怀与敬业精神，健全人格与健康体魄，规则意识与创新思维，具有蓝海视野，胜任国际交流，掌握航海技术专业知识和技术技能，面向水上交通运输业，能够在船舶生产一线从事值班、维护、通信、营运与管理等工作，并做到安全、绿色、高效、创新与可持续发展兼顾。学生毕业3年后，应能够成为精通船舶甲板部操作级人员岗位技能、善于船舶管理的技术骨干，并能达到船舶专业技术人员助理工程师水平。</w:t>
      </w:r>
    </w:p>
    <w:p w14:paraId="17AB9603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（三）职业面向</w:t>
      </w:r>
    </w:p>
    <w:tbl>
      <w:tblPr>
        <w:tblStyle w:val="12"/>
        <w:tblW w:w="9210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990"/>
        <w:gridCol w:w="1214"/>
        <w:gridCol w:w="1260"/>
        <w:gridCol w:w="2116"/>
        <w:gridCol w:w="1769"/>
        <w:gridCol w:w="1861"/>
      </w:tblGrid>
      <w:tr w14:paraId="526AFFA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7389FD">
            <w:pPr>
              <w:pStyle w:val="109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专业大类（代码）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1508BF">
            <w:pPr>
              <w:pStyle w:val="109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专业类</w:t>
            </w:r>
          </w:p>
          <w:p w14:paraId="3CB7AE57">
            <w:pPr>
              <w:pStyle w:val="109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（代码）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EA25F2">
            <w:pPr>
              <w:pStyle w:val="109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主要面向的行业</w:t>
            </w:r>
          </w:p>
          <w:p w14:paraId="663A718F">
            <w:pPr>
              <w:pStyle w:val="109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（代码）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83B8F2">
            <w:pPr>
              <w:pStyle w:val="109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主要面向的职业类别</w:t>
            </w:r>
          </w:p>
          <w:p w14:paraId="4D269E48">
            <w:pPr>
              <w:pStyle w:val="109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（代码）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ED859A">
            <w:pPr>
              <w:pStyle w:val="109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主要就业的岗位群或技术领域</w:t>
            </w: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8A5E8C">
            <w:pPr>
              <w:pStyle w:val="109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职业资格或职业技能等级证书举例</w:t>
            </w:r>
          </w:p>
        </w:tc>
      </w:tr>
      <w:tr w14:paraId="4846E27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19" w:hRule="atLeast"/>
          <w:jc w:val="center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116CCE">
            <w:pPr>
              <w:pStyle w:val="109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交通运输大类</w:t>
            </w:r>
          </w:p>
          <w:p w14:paraId="79409C3F">
            <w:pPr>
              <w:pStyle w:val="109"/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（50）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108369">
            <w:pPr>
              <w:pStyle w:val="109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水上运输类</w:t>
            </w:r>
          </w:p>
          <w:p w14:paraId="4651356E">
            <w:pPr>
              <w:pStyle w:val="109"/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（5003）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F3F7F">
            <w:pPr>
              <w:pStyle w:val="109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水上运输业</w:t>
            </w:r>
          </w:p>
          <w:p w14:paraId="19FAE82B">
            <w:pPr>
              <w:pStyle w:val="109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（55）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CA6F10">
            <w:pPr>
              <w:pStyle w:val="109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甲板部技术人员（2-04-02-01）</w:t>
            </w:r>
          </w:p>
          <w:p w14:paraId="00DDBDDF">
            <w:pPr>
              <w:pStyle w:val="109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客运船舶驾驶员（4-02-03-01）</w:t>
            </w:r>
          </w:p>
        </w:tc>
        <w:tc>
          <w:tcPr>
            <w:tcW w:w="1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25DB01">
            <w:pPr>
              <w:pStyle w:val="109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海船甲板部操作级船员</w:t>
            </w: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9592DA">
            <w:pPr>
              <w:pStyle w:val="109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三副船员适任证书</w:t>
            </w:r>
          </w:p>
        </w:tc>
      </w:tr>
    </w:tbl>
    <w:p w14:paraId="516BA6B2">
      <w:pPr>
        <w:pStyle w:val="2"/>
        <w:numPr>
          <w:ilvl w:val="0"/>
          <w:numId w:val="1"/>
        </w:numPr>
        <w:spacing w:before="312" w:after="312"/>
        <w:ind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专业核心课程</w:t>
      </w:r>
    </w:p>
    <w:p w14:paraId="2A5EB1F0">
      <w:pPr>
        <w:adjustRightInd w:val="0"/>
        <w:snapToGrid w:val="0"/>
        <w:spacing w:line="360" w:lineRule="auto"/>
        <w:ind w:firstLine="570"/>
        <w:rPr>
          <w:rFonts w:hint="eastAsia" w:eastAsia="宋体"/>
          <w:lang w:eastAsia="zh-CN"/>
        </w:rPr>
      </w:pPr>
      <w:r>
        <w:rPr>
          <w:rFonts w:hint="eastAsia" w:ascii="Times New Roman"/>
          <w:sz w:val="28"/>
          <w:szCs w:val="28"/>
        </w:rPr>
        <w:t>船舶定位与导航、海上货物运输、航海英语、船舶操纵与避碰、船舶管理（航海）</w:t>
      </w:r>
      <w:r>
        <w:rPr>
          <w:rFonts w:hint="eastAsia" w:ascii="Times New Roman"/>
          <w:sz w:val="28"/>
          <w:szCs w:val="28"/>
          <w:lang w:eastAsia="zh-CN"/>
        </w:rPr>
        <w:t>。</w:t>
      </w:r>
    </w:p>
    <w:p w14:paraId="5EE2CFEF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（五）毕业资格条件</w:t>
      </w:r>
    </w:p>
    <w:p w14:paraId="488DF95A">
      <w:pPr>
        <w:adjustRightInd w:val="0"/>
        <w:snapToGrid w:val="0"/>
        <w:spacing w:line="360" w:lineRule="auto"/>
        <w:ind w:firstLine="570"/>
        <w:rPr>
          <w:rFonts w:hint="eastAsia" w:ascii="Times New Roman"/>
          <w:sz w:val="28"/>
          <w:szCs w:val="28"/>
        </w:rPr>
      </w:pPr>
      <w:bookmarkStart w:id="10" w:name="_Toc8182"/>
      <w:bookmarkStart w:id="11" w:name="_Toc6350"/>
      <w:bookmarkStart w:id="12" w:name="_Toc22929"/>
      <w:bookmarkStart w:id="13" w:name="_Toc18963"/>
      <w:bookmarkStart w:id="14" w:name="_Toc396497636"/>
      <w:bookmarkStart w:id="15" w:name="_Toc396497326"/>
      <w:bookmarkStart w:id="16" w:name="_Toc396497528"/>
      <w:bookmarkStart w:id="17" w:name="_Toc393236439"/>
      <w:bookmarkStart w:id="18" w:name="_Toc396501702"/>
      <w:r>
        <w:rPr>
          <w:rFonts w:hint="eastAsia" w:ascii="Times New Roman"/>
          <w:sz w:val="28"/>
          <w:szCs w:val="28"/>
          <w:lang w:val="en-US" w:eastAsia="zh-CN"/>
        </w:rPr>
        <w:t>1.</w:t>
      </w:r>
      <w:r>
        <w:rPr>
          <w:rFonts w:hint="eastAsia" w:ascii="Times New Roman"/>
          <w:sz w:val="28"/>
          <w:szCs w:val="28"/>
        </w:rPr>
        <w:t>毕业学分要求</w:t>
      </w:r>
      <w:bookmarkEnd w:id="10"/>
      <w:bookmarkEnd w:id="11"/>
      <w:bookmarkEnd w:id="12"/>
      <w:bookmarkEnd w:id="13"/>
    </w:p>
    <w:p w14:paraId="754FC0B8">
      <w:pPr>
        <w:adjustRightInd w:val="0"/>
        <w:snapToGrid w:val="0"/>
        <w:spacing w:line="360" w:lineRule="auto"/>
        <w:ind w:firstLine="570"/>
        <w:rPr>
          <w:rFonts w:hint="eastAsia" w:ascii="Times New Roman"/>
          <w:sz w:val="28"/>
          <w:szCs w:val="28"/>
        </w:rPr>
      </w:pPr>
      <w:bookmarkStart w:id="19" w:name="_Toc5198"/>
      <w:bookmarkStart w:id="20" w:name="_Toc20972"/>
      <w:bookmarkStart w:id="21" w:name="_Toc26051"/>
      <w:bookmarkStart w:id="22" w:name="_Toc30529"/>
      <w:r>
        <w:rPr>
          <w:rFonts w:hint="eastAsia" w:ascii="Times New Roman"/>
          <w:sz w:val="28"/>
          <w:szCs w:val="28"/>
        </w:rPr>
        <w:t>学生共须修满</w:t>
      </w:r>
      <w:r>
        <w:rPr>
          <w:rFonts w:hint="eastAsia" w:ascii="Times New Roman"/>
          <w:sz w:val="28"/>
          <w:szCs w:val="28"/>
          <w:lang w:val="en-US" w:eastAsia="zh-CN"/>
        </w:rPr>
        <w:t>147</w:t>
      </w:r>
      <w:r>
        <w:rPr>
          <w:rFonts w:hint="eastAsia" w:ascii="Times New Roman"/>
          <w:sz w:val="28"/>
          <w:szCs w:val="28"/>
        </w:rPr>
        <w:t>学分，其中通识必修课应修满</w:t>
      </w:r>
      <w:r>
        <w:rPr>
          <w:rFonts w:hint="eastAsia" w:ascii="Times New Roman"/>
          <w:sz w:val="28"/>
          <w:szCs w:val="28"/>
          <w:lang w:val="en-US" w:eastAsia="zh-CN"/>
        </w:rPr>
        <w:t>34.5</w:t>
      </w:r>
      <w:r>
        <w:rPr>
          <w:rFonts w:hint="eastAsia" w:ascii="Times New Roman"/>
          <w:sz w:val="28"/>
          <w:szCs w:val="28"/>
        </w:rPr>
        <w:t>学分，通识限选课修满</w:t>
      </w:r>
      <w:r>
        <w:rPr>
          <w:rFonts w:hint="eastAsia" w:ascii="Times New Roman"/>
          <w:sz w:val="28"/>
          <w:szCs w:val="28"/>
          <w:lang w:val="en-US" w:eastAsia="zh-CN"/>
        </w:rPr>
        <w:t>5</w:t>
      </w:r>
      <w:r>
        <w:rPr>
          <w:rFonts w:hint="eastAsia" w:ascii="Times New Roman"/>
          <w:sz w:val="28"/>
          <w:szCs w:val="28"/>
        </w:rPr>
        <w:t>学分, 通识任选课修满4学分；专业教育</w:t>
      </w:r>
      <w:r>
        <w:rPr>
          <w:rFonts w:hint="eastAsia" w:ascii="Times New Roman"/>
          <w:sz w:val="28"/>
          <w:szCs w:val="28"/>
          <w:lang w:val="en-US" w:eastAsia="zh-CN"/>
        </w:rPr>
        <w:t>必修课应</w:t>
      </w:r>
      <w:r>
        <w:rPr>
          <w:rFonts w:hint="eastAsia" w:ascii="Times New Roman"/>
          <w:sz w:val="28"/>
          <w:szCs w:val="28"/>
        </w:rPr>
        <w:t>修满</w:t>
      </w:r>
      <w:r>
        <w:rPr>
          <w:rFonts w:hint="eastAsia" w:ascii="Times New Roman"/>
          <w:sz w:val="28"/>
          <w:szCs w:val="28"/>
          <w:lang w:val="en-US" w:eastAsia="zh-CN"/>
        </w:rPr>
        <w:t>47</w:t>
      </w:r>
      <w:r>
        <w:rPr>
          <w:rFonts w:hint="eastAsia" w:ascii="Times New Roman"/>
          <w:sz w:val="28"/>
          <w:szCs w:val="28"/>
        </w:rPr>
        <w:t>学分</w:t>
      </w:r>
      <w:r>
        <w:rPr>
          <w:rFonts w:hint="eastAsia" w:ascii="Times New Roman"/>
          <w:sz w:val="28"/>
          <w:szCs w:val="28"/>
          <w:lang w:eastAsia="zh-CN"/>
        </w:rPr>
        <w:t>，</w:t>
      </w:r>
      <w:r>
        <w:rPr>
          <w:rFonts w:hint="eastAsia" w:ascii="Times New Roman"/>
          <w:sz w:val="28"/>
          <w:szCs w:val="28"/>
          <w:lang w:val="en-US" w:eastAsia="zh-CN"/>
        </w:rPr>
        <w:t>专业拓展应</w:t>
      </w:r>
      <w:r>
        <w:rPr>
          <w:rFonts w:hint="eastAsia" w:ascii="Times New Roman"/>
          <w:sz w:val="28"/>
          <w:szCs w:val="28"/>
        </w:rPr>
        <w:t>修满</w:t>
      </w:r>
      <w:r>
        <w:rPr>
          <w:rFonts w:hint="eastAsia" w:ascii="Times New Roman"/>
          <w:sz w:val="28"/>
          <w:szCs w:val="28"/>
          <w:lang w:val="en-US" w:eastAsia="zh-CN"/>
        </w:rPr>
        <w:t>4学分</w:t>
      </w:r>
      <w:r>
        <w:rPr>
          <w:rFonts w:hint="eastAsia" w:ascii="Times New Roman"/>
          <w:sz w:val="28"/>
          <w:szCs w:val="28"/>
        </w:rPr>
        <w:t>；素质拓展与社会实践类课程修满8学分；个性拓展模块修满</w:t>
      </w:r>
      <w:r>
        <w:rPr>
          <w:rFonts w:hint="eastAsia" w:ascii="Times New Roman"/>
          <w:sz w:val="28"/>
          <w:szCs w:val="28"/>
          <w:lang w:val="en-US" w:eastAsia="zh-CN"/>
        </w:rPr>
        <w:t>6</w:t>
      </w:r>
      <w:r>
        <w:rPr>
          <w:rFonts w:hint="eastAsia" w:ascii="Times New Roman"/>
          <w:sz w:val="28"/>
          <w:szCs w:val="28"/>
        </w:rPr>
        <w:t>个学分；综合实践类</w:t>
      </w:r>
      <w:r>
        <w:rPr>
          <w:rFonts w:hint="eastAsia" w:ascii="Times New Roman"/>
          <w:sz w:val="28"/>
          <w:szCs w:val="28"/>
          <w:lang w:val="en-US" w:eastAsia="zh-CN"/>
        </w:rPr>
        <w:t>修满38.5</w:t>
      </w:r>
      <w:r>
        <w:rPr>
          <w:rFonts w:hint="eastAsia" w:ascii="Times New Roman"/>
          <w:sz w:val="28"/>
          <w:szCs w:val="28"/>
        </w:rPr>
        <w:t>学分。各类课程学分可根据《江苏海院学分积累、转换和认定办法》予以认定。</w:t>
      </w:r>
    </w:p>
    <w:p w14:paraId="09FB332A">
      <w:pPr>
        <w:adjustRightInd w:val="0"/>
        <w:snapToGrid w:val="0"/>
        <w:spacing w:line="360" w:lineRule="auto"/>
        <w:ind w:firstLine="570"/>
        <w:rPr>
          <w:rFonts w:hint="eastAsia"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  <w:lang w:val="en-US" w:eastAsia="zh-CN"/>
        </w:rPr>
        <w:t>2.</w:t>
      </w:r>
      <w:r>
        <w:rPr>
          <w:rFonts w:hint="eastAsia" w:ascii="Times New Roman"/>
          <w:sz w:val="28"/>
          <w:szCs w:val="28"/>
        </w:rPr>
        <w:t>职业技能或职业资格证书要求</w:t>
      </w:r>
      <w:bookmarkEnd w:id="19"/>
      <w:bookmarkEnd w:id="20"/>
      <w:bookmarkEnd w:id="21"/>
      <w:bookmarkEnd w:id="22"/>
    </w:p>
    <w:p w14:paraId="6C479880">
      <w:pPr>
        <w:adjustRightInd w:val="0"/>
        <w:snapToGrid w:val="0"/>
        <w:spacing w:line="360" w:lineRule="auto"/>
        <w:ind w:firstLine="570"/>
        <w:rPr>
          <w:rFonts w:hint="eastAsia" w:ascii="Times New Roman"/>
          <w:sz w:val="28"/>
          <w:szCs w:val="28"/>
          <w:lang w:eastAsia="zh-CN"/>
        </w:rPr>
      </w:pPr>
      <w:bookmarkStart w:id="23" w:name="_Toc9435"/>
      <w:r>
        <w:rPr>
          <w:rFonts w:hint="eastAsia" w:ascii="Times New Roman"/>
          <w:sz w:val="28"/>
          <w:szCs w:val="28"/>
          <w:lang w:eastAsia="zh-CN"/>
        </w:rPr>
        <w:t>（</w:t>
      </w:r>
      <w:r>
        <w:rPr>
          <w:rFonts w:hint="eastAsia" w:ascii="Times New Roman"/>
          <w:sz w:val="28"/>
          <w:szCs w:val="28"/>
          <w:lang w:val="en-US" w:eastAsia="zh-CN"/>
        </w:rPr>
        <w:t>1</w:t>
      </w:r>
      <w:r>
        <w:rPr>
          <w:rFonts w:hint="eastAsia" w:ascii="Times New Roman"/>
          <w:sz w:val="28"/>
          <w:szCs w:val="28"/>
          <w:lang w:eastAsia="zh-CN"/>
        </w:rPr>
        <w:t>）</w:t>
      </w:r>
      <w:r>
        <w:rPr>
          <w:rFonts w:hint="eastAsia" w:ascii="Times New Roman"/>
          <w:sz w:val="28"/>
          <w:szCs w:val="28"/>
        </w:rPr>
        <w:t>必须获取证书：基本安全合格证、保安意识与保安职责合格证、高级消防合格证、精通艇筏合格证、精通急救</w:t>
      </w:r>
      <w:r>
        <w:rPr>
          <w:rFonts w:hint="eastAsia" w:ascii="Times New Roman"/>
          <w:sz w:val="28"/>
          <w:szCs w:val="28"/>
          <w:lang w:eastAsia="zh-CN"/>
        </w:rPr>
        <w:t>。</w:t>
      </w:r>
    </w:p>
    <w:p w14:paraId="4341CF49">
      <w:pPr>
        <w:adjustRightInd w:val="0"/>
        <w:snapToGrid w:val="0"/>
        <w:spacing w:line="360" w:lineRule="auto"/>
        <w:ind w:firstLine="570"/>
        <w:rPr>
          <w:rFonts w:hint="eastAsia" w:ascii="Times New Roman"/>
          <w:sz w:val="28"/>
          <w:szCs w:val="28"/>
          <w:lang w:eastAsia="zh-CN"/>
        </w:rPr>
      </w:pPr>
      <w:r>
        <w:rPr>
          <w:rFonts w:hint="eastAsia" w:ascii="Times New Roman"/>
          <w:sz w:val="28"/>
          <w:szCs w:val="28"/>
          <w:lang w:eastAsia="zh-CN"/>
        </w:rPr>
        <w:t>（</w:t>
      </w:r>
      <w:r>
        <w:rPr>
          <w:rFonts w:hint="eastAsia" w:ascii="Times New Roman"/>
          <w:sz w:val="28"/>
          <w:szCs w:val="28"/>
          <w:lang w:val="en-US" w:eastAsia="zh-CN"/>
        </w:rPr>
        <w:t>2</w:t>
      </w:r>
      <w:r>
        <w:rPr>
          <w:rFonts w:hint="eastAsia" w:ascii="Times New Roman"/>
          <w:sz w:val="28"/>
          <w:szCs w:val="28"/>
          <w:lang w:eastAsia="zh-CN"/>
        </w:rPr>
        <w:t>）</w:t>
      </w:r>
      <w:r>
        <w:rPr>
          <w:rFonts w:hint="eastAsia" w:ascii="Times New Roman"/>
          <w:sz w:val="28"/>
          <w:szCs w:val="28"/>
        </w:rPr>
        <w:t>建议获取证书：值班水手合格证、GMDSS操作员适任证书、海船三副及以上适任证书</w:t>
      </w:r>
      <w:r>
        <w:rPr>
          <w:rFonts w:hint="eastAsia" w:ascii="Times New Roman"/>
          <w:sz w:val="28"/>
          <w:szCs w:val="28"/>
          <w:lang w:eastAsia="zh-CN"/>
        </w:rPr>
        <w:t>。</w:t>
      </w:r>
    </w:p>
    <w:p w14:paraId="08486D07">
      <w:pPr>
        <w:adjustRightInd w:val="0"/>
        <w:snapToGrid w:val="0"/>
        <w:spacing w:line="360" w:lineRule="auto"/>
        <w:ind w:firstLine="570"/>
        <w:rPr>
          <w:rFonts w:hint="eastAsia" w:ascii="Times New Roman"/>
          <w:sz w:val="28"/>
          <w:szCs w:val="28"/>
        </w:rPr>
      </w:pPr>
      <w:bookmarkStart w:id="24" w:name="_Toc27398"/>
      <w:bookmarkStart w:id="25" w:name="_Toc25762"/>
      <w:bookmarkStart w:id="26" w:name="_Toc10994"/>
      <w:r>
        <w:rPr>
          <w:rFonts w:hint="eastAsia" w:ascii="Times New Roman"/>
          <w:sz w:val="28"/>
          <w:szCs w:val="28"/>
          <w:lang w:val="en-US" w:eastAsia="zh-CN"/>
        </w:rPr>
        <w:t>3.</w:t>
      </w:r>
      <w:r>
        <w:rPr>
          <w:rFonts w:hint="eastAsia" w:ascii="Times New Roman"/>
          <w:sz w:val="28"/>
          <w:szCs w:val="28"/>
        </w:rPr>
        <w:t>学生思想品德考核要求</w:t>
      </w:r>
      <w:bookmarkEnd w:id="23"/>
      <w:bookmarkEnd w:id="24"/>
      <w:bookmarkEnd w:id="25"/>
      <w:bookmarkEnd w:id="26"/>
    </w:p>
    <w:p w14:paraId="10DA662F">
      <w:pPr>
        <w:adjustRightInd w:val="0"/>
        <w:snapToGrid w:val="0"/>
        <w:spacing w:line="360" w:lineRule="auto"/>
        <w:ind w:firstLine="570"/>
        <w:rPr>
          <w:rFonts w:hint="eastAsia"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学生毕业前思想品德考核必须为合格以上，由学生工作处负责考核、鉴定。</w:t>
      </w:r>
    </w:p>
    <w:p w14:paraId="42ADC11C">
      <w:pPr>
        <w:adjustRightInd w:val="0"/>
        <w:snapToGrid w:val="0"/>
        <w:spacing w:line="360" w:lineRule="auto"/>
        <w:ind w:firstLine="570"/>
        <w:rPr>
          <w:rFonts w:hint="eastAsia" w:ascii="Times New Roman"/>
          <w:sz w:val="28"/>
          <w:szCs w:val="28"/>
        </w:rPr>
      </w:pPr>
      <w:bookmarkStart w:id="27" w:name="_Toc2508"/>
      <w:bookmarkStart w:id="28" w:name="_Toc18842"/>
      <w:bookmarkStart w:id="29" w:name="_Toc24749"/>
      <w:bookmarkStart w:id="30" w:name="_Toc10410"/>
      <w:r>
        <w:rPr>
          <w:rFonts w:hint="eastAsia" w:ascii="Times New Roman"/>
          <w:sz w:val="28"/>
          <w:szCs w:val="28"/>
          <w:lang w:val="en-US" w:eastAsia="zh-CN"/>
        </w:rPr>
        <w:t>4.</w:t>
      </w:r>
      <w:r>
        <w:rPr>
          <w:rFonts w:hint="eastAsia" w:ascii="Times New Roman"/>
          <w:sz w:val="28"/>
          <w:szCs w:val="28"/>
        </w:rPr>
        <w:t>体制健康测试要求</w:t>
      </w:r>
      <w:bookmarkEnd w:id="27"/>
      <w:bookmarkEnd w:id="28"/>
      <w:bookmarkEnd w:id="29"/>
      <w:bookmarkEnd w:id="30"/>
    </w:p>
    <w:p w14:paraId="7490D990">
      <w:pPr>
        <w:adjustRightInd w:val="0"/>
        <w:snapToGrid w:val="0"/>
        <w:spacing w:line="360" w:lineRule="auto"/>
        <w:ind w:firstLine="570"/>
        <w:rPr>
          <w:rFonts w:hint="eastAsia"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学生体制健康测试严格执行“国家学生体质健康标准”，毕业前体制健康测试成绩必须达50分以上。对省级以上体育竞赛比赛获三等奖以上学生，可以免除以上要求。学生因病或残疾可向学校提交免测申请，经医疗单位证明，体育教学部门核准，可以免除以上要求，但须填写《免予执行&lt;国家学生体质健康标准&gt;申请表》存入学生档案。</w:t>
      </w:r>
    </w:p>
    <w:p w14:paraId="6C742E02">
      <w:pPr>
        <w:pStyle w:val="3"/>
        <w:spacing w:before="156" w:after="156"/>
        <w:ind w:left="0" w:leftChars="0" w:firstLine="0" w:firstLineChars="0"/>
        <w:rPr>
          <w:rFonts w:ascii="微软雅黑" w:hAnsi="微软雅黑" w:eastAsia="微软雅黑"/>
          <w:b/>
        </w:rPr>
      </w:pPr>
      <w:r>
        <w:rPr>
          <w:rFonts w:hint="eastAsia" w:ascii="微软雅黑" w:hAnsi="微软雅黑" w:eastAsia="微软雅黑"/>
          <w:b/>
        </w:rPr>
        <w:t>二</w:t>
      </w:r>
      <w:r>
        <w:rPr>
          <w:rFonts w:ascii="微软雅黑" w:hAnsi="微软雅黑" w:eastAsia="微软雅黑"/>
          <w:b/>
        </w:rPr>
        <w:t>、</w:t>
      </w:r>
      <w:r>
        <w:rPr>
          <w:rFonts w:hint="eastAsia" w:ascii="微软雅黑" w:hAnsi="微软雅黑" w:eastAsia="微软雅黑"/>
          <w:b/>
        </w:rPr>
        <w:t>转专业录取办法</w:t>
      </w:r>
    </w:p>
    <w:p w14:paraId="6785DE22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（一）</w:t>
      </w:r>
      <w:r>
        <w:rPr>
          <w:rFonts w:hint="eastAsia" w:ascii="Times New Roman"/>
          <w:sz w:val="28"/>
          <w:szCs w:val="28"/>
        </w:rPr>
        <w:t xml:space="preserve"> 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接受对象</w:t>
      </w:r>
    </w:p>
    <w:p w14:paraId="7BC4CC55">
      <w:pPr>
        <w:autoSpaceDE w:val="0"/>
        <w:autoSpaceDN w:val="0"/>
        <w:adjustRightInd w:val="0"/>
        <w:spacing w:line="500" w:lineRule="exact"/>
        <w:ind w:firstLine="560" w:firstLineChars="200"/>
        <w:rPr>
          <w:rFonts w:asci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符合《江苏海事职业技术学院学生学籍管理办法》中转专业规定的相关学生</w:t>
      </w:r>
      <w:r>
        <w:rPr>
          <w:rFonts w:hint="eastAsia" w:ascii="Times New Roman"/>
          <w:sz w:val="28"/>
          <w:szCs w:val="28"/>
        </w:rPr>
        <w:t>。申请转入学生不得有船员健康检查要求中</w:t>
      </w:r>
      <w:r>
        <w:rPr>
          <w:rFonts w:ascii="Times New Roman"/>
          <w:sz w:val="28"/>
          <w:szCs w:val="28"/>
        </w:rPr>
        <w:t>列明的</w:t>
      </w:r>
      <w:r>
        <w:rPr>
          <w:rFonts w:hint="eastAsia" w:ascii="Times New Roman"/>
          <w:sz w:val="28"/>
          <w:szCs w:val="28"/>
        </w:rPr>
        <w:t>船员职业限制和禁忌症</w:t>
      </w:r>
      <w:r>
        <w:rPr>
          <w:rFonts w:ascii="Times New Roman"/>
          <w:sz w:val="28"/>
          <w:szCs w:val="28"/>
        </w:rPr>
        <w:t>。</w:t>
      </w:r>
    </w:p>
    <w:p w14:paraId="38E5A79F">
      <w:pPr>
        <w:pStyle w:val="3"/>
        <w:spacing w:before="156" w:after="156"/>
        <w:ind w:left="0" w:leftChars="0" w:firstLine="0" w:firstLineChars="0"/>
        <w:rPr>
          <w:rFonts w:hint="eastAsia" w:ascii="微软雅黑" w:hAnsi="微软雅黑" w:eastAsia="微软雅黑"/>
          <w:b/>
        </w:rPr>
      </w:pPr>
      <w:r>
        <w:rPr>
          <w:rFonts w:hint="eastAsia" w:ascii="微软雅黑" w:hAnsi="微软雅黑" w:eastAsia="微软雅黑"/>
          <w:b/>
        </w:rPr>
        <w:t>（二）遴选方案</w:t>
      </w:r>
    </w:p>
    <w:bookmarkEnd w:id="14"/>
    <w:bookmarkEnd w:id="15"/>
    <w:bookmarkEnd w:id="16"/>
    <w:bookmarkEnd w:id="17"/>
    <w:bookmarkEnd w:id="18"/>
    <w:p w14:paraId="465096FD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1.</w:t>
      </w:r>
      <w:r>
        <w:rPr>
          <w:rFonts w:hint="eastAsia" w:ascii="Times New Roman"/>
          <w:sz w:val="28"/>
          <w:szCs w:val="28"/>
          <w:lang w:val="en-US" w:eastAsia="zh-CN"/>
        </w:rPr>
        <w:t>符合报名条件的学生</w:t>
      </w:r>
      <w:r>
        <w:rPr>
          <w:rFonts w:hint="eastAsia" w:ascii="Times New Roman"/>
          <w:sz w:val="28"/>
          <w:szCs w:val="28"/>
        </w:rPr>
        <w:t>根据平均学分绩点由高到低依次录取；</w:t>
      </w:r>
      <w:r>
        <w:rPr>
          <w:rFonts w:ascii="Times New Roman"/>
          <w:sz w:val="28"/>
          <w:szCs w:val="28"/>
        </w:rPr>
        <w:t>平均学分绩点相同</w:t>
      </w:r>
      <w:r>
        <w:rPr>
          <w:rFonts w:hint="eastAsia" w:ascii="Times New Roman"/>
          <w:sz w:val="28"/>
          <w:szCs w:val="28"/>
        </w:rPr>
        <w:t>时，按班级综合排名先后顺序</w:t>
      </w:r>
      <w:r>
        <w:rPr>
          <w:rFonts w:ascii="Times New Roman"/>
          <w:sz w:val="28"/>
          <w:szCs w:val="28"/>
        </w:rPr>
        <w:t>录取</w:t>
      </w:r>
      <w:r>
        <w:rPr>
          <w:rFonts w:hint="eastAsia" w:ascii="Times New Roman"/>
          <w:sz w:val="28"/>
          <w:szCs w:val="28"/>
        </w:rPr>
        <w:t>。</w:t>
      </w:r>
    </w:p>
    <w:p w14:paraId="299105BA">
      <w:pPr>
        <w:adjustRightInd w:val="0"/>
        <w:snapToGrid w:val="0"/>
        <w:spacing w:line="360" w:lineRule="auto"/>
        <w:ind w:firstLine="570"/>
        <w:rPr>
          <w:rFonts w:hint="eastAsia"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2.按第一条规定程序录取名单出来后，</w:t>
      </w:r>
      <w:r>
        <w:rPr>
          <w:rFonts w:hint="eastAsia" w:ascii="Times New Roman"/>
          <w:sz w:val="28"/>
          <w:szCs w:val="28"/>
          <w:lang w:val="en-US" w:eastAsia="zh-CN"/>
        </w:rPr>
        <w:t>组织面试，综合考虑</w:t>
      </w:r>
      <w:r>
        <w:rPr>
          <w:rFonts w:hint="eastAsia" w:ascii="Times New Roman"/>
          <w:sz w:val="28"/>
          <w:szCs w:val="28"/>
        </w:rPr>
        <w:t>确定最终录取名单。面试具体程序和时间由航海技术学院安排，不来参加面试的学生视为放弃本次转专业机会。</w:t>
      </w:r>
    </w:p>
    <w:p w14:paraId="716E9500">
      <w:pPr>
        <w:ind w:firstLine="560" w:firstLineChars="200"/>
        <w:rPr>
          <w:rFonts w:ascii="Times New Roman" w:hAnsi="Times New Roman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8A100B">
    <w:pPr>
      <w:pStyle w:val="8"/>
    </w:pPr>
    <w:r>
      <w:fldChar w:fldCharType="begin"/>
    </w:r>
    <w:r>
      <w:instrText xml:space="preserve">PAGE</w:instrText>
    </w:r>
    <w:r>
      <w:fldChar w:fldCharType="separate"/>
    </w:r>
    <w:r>
      <w:t>3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5C8F8A"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5C4A09"/>
    <w:multiLevelType w:val="multilevel"/>
    <w:tmpl w:val="6C5C4A09"/>
    <w:lvl w:ilvl="0" w:tentative="0">
      <w:start w:val="4"/>
      <w:numFmt w:val="japaneseCounting"/>
      <w:lvlText w:val="（%1）"/>
      <w:lvlJc w:val="left"/>
      <w:pPr>
        <w:ind w:left="855" w:hanging="85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VmZTViMjUzMTFhMjU2Zjc5MDMwZTM1NTM1YjcwNWMifQ=="/>
  </w:docVars>
  <w:rsids>
    <w:rsidRoot w:val="00816F75"/>
    <w:rsid w:val="0000076C"/>
    <w:rsid w:val="000038C7"/>
    <w:rsid w:val="00007931"/>
    <w:rsid w:val="00014122"/>
    <w:rsid w:val="00015D97"/>
    <w:rsid w:val="00015F76"/>
    <w:rsid w:val="000219DE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877C9"/>
    <w:rsid w:val="000918CB"/>
    <w:rsid w:val="000956F1"/>
    <w:rsid w:val="000A00CF"/>
    <w:rsid w:val="000A0EB6"/>
    <w:rsid w:val="000A62DC"/>
    <w:rsid w:val="000A6911"/>
    <w:rsid w:val="000B5D50"/>
    <w:rsid w:val="000C125D"/>
    <w:rsid w:val="000C261C"/>
    <w:rsid w:val="000D434A"/>
    <w:rsid w:val="000D4E20"/>
    <w:rsid w:val="000D6896"/>
    <w:rsid w:val="000E7029"/>
    <w:rsid w:val="000F21AB"/>
    <w:rsid w:val="000F4F92"/>
    <w:rsid w:val="000F75CD"/>
    <w:rsid w:val="001104CB"/>
    <w:rsid w:val="00112D75"/>
    <w:rsid w:val="00114BF6"/>
    <w:rsid w:val="00120749"/>
    <w:rsid w:val="0012179F"/>
    <w:rsid w:val="001219A1"/>
    <w:rsid w:val="00122CCE"/>
    <w:rsid w:val="001418BC"/>
    <w:rsid w:val="00160373"/>
    <w:rsid w:val="00160624"/>
    <w:rsid w:val="00163CAB"/>
    <w:rsid w:val="00164FE4"/>
    <w:rsid w:val="00172652"/>
    <w:rsid w:val="00175F7A"/>
    <w:rsid w:val="00176F3A"/>
    <w:rsid w:val="00182CB1"/>
    <w:rsid w:val="00183670"/>
    <w:rsid w:val="00184B7E"/>
    <w:rsid w:val="001856F9"/>
    <w:rsid w:val="00190B98"/>
    <w:rsid w:val="00191FF6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F0F0E"/>
    <w:rsid w:val="001F75D5"/>
    <w:rsid w:val="0020389C"/>
    <w:rsid w:val="00203CC0"/>
    <w:rsid w:val="00203D4D"/>
    <w:rsid w:val="00204A76"/>
    <w:rsid w:val="00205290"/>
    <w:rsid w:val="0021084B"/>
    <w:rsid w:val="00220184"/>
    <w:rsid w:val="00220752"/>
    <w:rsid w:val="002267CC"/>
    <w:rsid w:val="002336A9"/>
    <w:rsid w:val="0024142F"/>
    <w:rsid w:val="002426E9"/>
    <w:rsid w:val="00244444"/>
    <w:rsid w:val="00250B53"/>
    <w:rsid w:val="002737B8"/>
    <w:rsid w:val="0028070B"/>
    <w:rsid w:val="00296891"/>
    <w:rsid w:val="002B3EA2"/>
    <w:rsid w:val="002B7D5D"/>
    <w:rsid w:val="002C35DB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42689"/>
    <w:rsid w:val="003478C3"/>
    <w:rsid w:val="0035181D"/>
    <w:rsid w:val="00373FB1"/>
    <w:rsid w:val="003747B6"/>
    <w:rsid w:val="003949E2"/>
    <w:rsid w:val="003A27D2"/>
    <w:rsid w:val="003A56A5"/>
    <w:rsid w:val="003B12EC"/>
    <w:rsid w:val="003B2ACD"/>
    <w:rsid w:val="003B43E0"/>
    <w:rsid w:val="003B4CDA"/>
    <w:rsid w:val="003B6D63"/>
    <w:rsid w:val="003D0082"/>
    <w:rsid w:val="003D0B78"/>
    <w:rsid w:val="003D4C18"/>
    <w:rsid w:val="003D7337"/>
    <w:rsid w:val="003E363C"/>
    <w:rsid w:val="003E52D1"/>
    <w:rsid w:val="003F0595"/>
    <w:rsid w:val="003F1ABC"/>
    <w:rsid w:val="003F24C1"/>
    <w:rsid w:val="003F3835"/>
    <w:rsid w:val="003F6CC9"/>
    <w:rsid w:val="004019EC"/>
    <w:rsid w:val="00403D68"/>
    <w:rsid w:val="00417170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60E23"/>
    <w:rsid w:val="00460F51"/>
    <w:rsid w:val="00471491"/>
    <w:rsid w:val="00475E2C"/>
    <w:rsid w:val="0048124A"/>
    <w:rsid w:val="00483F55"/>
    <w:rsid w:val="00485A8B"/>
    <w:rsid w:val="0048635A"/>
    <w:rsid w:val="004905D8"/>
    <w:rsid w:val="0049325A"/>
    <w:rsid w:val="00494FAB"/>
    <w:rsid w:val="004A6F37"/>
    <w:rsid w:val="004B5E17"/>
    <w:rsid w:val="004B6DF3"/>
    <w:rsid w:val="004C26DF"/>
    <w:rsid w:val="004C6D7C"/>
    <w:rsid w:val="004D0783"/>
    <w:rsid w:val="004D0A00"/>
    <w:rsid w:val="004D2E36"/>
    <w:rsid w:val="004D5DB4"/>
    <w:rsid w:val="004D67EF"/>
    <w:rsid w:val="004D7D7F"/>
    <w:rsid w:val="004E0E0C"/>
    <w:rsid w:val="004E2779"/>
    <w:rsid w:val="004E3440"/>
    <w:rsid w:val="004E65F4"/>
    <w:rsid w:val="004F41EA"/>
    <w:rsid w:val="004F7FDB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4838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70B77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FA4"/>
    <w:rsid w:val="005B217A"/>
    <w:rsid w:val="005B43F4"/>
    <w:rsid w:val="005B5183"/>
    <w:rsid w:val="005C0065"/>
    <w:rsid w:val="005C0903"/>
    <w:rsid w:val="005C094F"/>
    <w:rsid w:val="005C1BCE"/>
    <w:rsid w:val="005C31B3"/>
    <w:rsid w:val="005C3A02"/>
    <w:rsid w:val="005C5AB5"/>
    <w:rsid w:val="005F5F38"/>
    <w:rsid w:val="00611EF5"/>
    <w:rsid w:val="0061432D"/>
    <w:rsid w:val="006150FA"/>
    <w:rsid w:val="00616201"/>
    <w:rsid w:val="00631247"/>
    <w:rsid w:val="006312C7"/>
    <w:rsid w:val="006363F2"/>
    <w:rsid w:val="0064192A"/>
    <w:rsid w:val="00642E99"/>
    <w:rsid w:val="006437B3"/>
    <w:rsid w:val="00645BB4"/>
    <w:rsid w:val="006465FF"/>
    <w:rsid w:val="00653751"/>
    <w:rsid w:val="0065426D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A3954"/>
    <w:rsid w:val="006A57E8"/>
    <w:rsid w:val="006B7C68"/>
    <w:rsid w:val="006D5321"/>
    <w:rsid w:val="006D567F"/>
    <w:rsid w:val="006D626A"/>
    <w:rsid w:val="006E0792"/>
    <w:rsid w:val="006E185E"/>
    <w:rsid w:val="006F060A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31D73"/>
    <w:rsid w:val="007369FC"/>
    <w:rsid w:val="00737028"/>
    <w:rsid w:val="007373EE"/>
    <w:rsid w:val="007403EE"/>
    <w:rsid w:val="007407C0"/>
    <w:rsid w:val="00740B56"/>
    <w:rsid w:val="0075354F"/>
    <w:rsid w:val="00760FB5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51CD"/>
    <w:rsid w:val="007B5341"/>
    <w:rsid w:val="007C17A0"/>
    <w:rsid w:val="007C1C2C"/>
    <w:rsid w:val="007C24E0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407A"/>
    <w:rsid w:val="00805465"/>
    <w:rsid w:val="008064C0"/>
    <w:rsid w:val="008070CD"/>
    <w:rsid w:val="00807D3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2F63"/>
    <w:rsid w:val="0085601D"/>
    <w:rsid w:val="008639EC"/>
    <w:rsid w:val="0086522F"/>
    <w:rsid w:val="008702D0"/>
    <w:rsid w:val="00870CD5"/>
    <w:rsid w:val="008738A3"/>
    <w:rsid w:val="0087621F"/>
    <w:rsid w:val="008772A6"/>
    <w:rsid w:val="0088236D"/>
    <w:rsid w:val="00885D97"/>
    <w:rsid w:val="008878F0"/>
    <w:rsid w:val="0089419B"/>
    <w:rsid w:val="008A3855"/>
    <w:rsid w:val="008A6679"/>
    <w:rsid w:val="008A7553"/>
    <w:rsid w:val="008B33EE"/>
    <w:rsid w:val="008B614E"/>
    <w:rsid w:val="008C19B6"/>
    <w:rsid w:val="008D051C"/>
    <w:rsid w:val="008D10FE"/>
    <w:rsid w:val="008D6C06"/>
    <w:rsid w:val="008E599C"/>
    <w:rsid w:val="008E796B"/>
    <w:rsid w:val="008F0165"/>
    <w:rsid w:val="008F3A55"/>
    <w:rsid w:val="008F70C4"/>
    <w:rsid w:val="009020A1"/>
    <w:rsid w:val="00906754"/>
    <w:rsid w:val="0091157B"/>
    <w:rsid w:val="009115F6"/>
    <w:rsid w:val="00917C65"/>
    <w:rsid w:val="0092399E"/>
    <w:rsid w:val="00925678"/>
    <w:rsid w:val="009310E3"/>
    <w:rsid w:val="00931E00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6463"/>
    <w:rsid w:val="009A7CC2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0CE3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670B"/>
    <w:rsid w:val="00A27FDA"/>
    <w:rsid w:val="00A3218C"/>
    <w:rsid w:val="00A35937"/>
    <w:rsid w:val="00A37D1F"/>
    <w:rsid w:val="00A430E1"/>
    <w:rsid w:val="00A43DA5"/>
    <w:rsid w:val="00A43EEF"/>
    <w:rsid w:val="00A4448C"/>
    <w:rsid w:val="00A52CEC"/>
    <w:rsid w:val="00A52F9F"/>
    <w:rsid w:val="00A6153F"/>
    <w:rsid w:val="00A67D89"/>
    <w:rsid w:val="00A70B19"/>
    <w:rsid w:val="00A72D6B"/>
    <w:rsid w:val="00A83B35"/>
    <w:rsid w:val="00A846C1"/>
    <w:rsid w:val="00A90671"/>
    <w:rsid w:val="00A91572"/>
    <w:rsid w:val="00A93C6C"/>
    <w:rsid w:val="00A968D9"/>
    <w:rsid w:val="00AA1675"/>
    <w:rsid w:val="00AA339F"/>
    <w:rsid w:val="00AA66B9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5EE9"/>
    <w:rsid w:val="00AE6D3A"/>
    <w:rsid w:val="00AF1200"/>
    <w:rsid w:val="00AF1726"/>
    <w:rsid w:val="00B000D3"/>
    <w:rsid w:val="00B01178"/>
    <w:rsid w:val="00B01AEA"/>
    <w:rsid w:val="00B0755D"/>
    <w:rsid w:val="00B13C58"/>
    <w:rsid w:val="00B174B2"/>
    <w:rsid w:val="00B2016E"/>
    <w:rsid w:val="00B20347"/>
    <w:rsid w:val="00B2364B"/>
    <w:rsid w:val="00B23B19"/>
    <w:rsid w:val="00B24274"/>
    <w:rsid w:val="00B31765"/>
    <w:rsid w:val="00B40F44"/>
    <w:rsid w:val="00B41460"/>
    <w:rsid w:val="00B461D2"/>
    <w:rsid w:val="00B55A4D"/>
    <w:rsid w:val="00B57196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C1535"/>
    <w:rsid w:val="00BD12B2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5D8C"/>
    <w:rsid w:val="00C35E45"/>
    <w:rsid w:val="00C36207"/>
    <w:rsid w:val="00C375E1"/>
    <w:rsid w:val="00C4153A"/>
    <w:rsid w:val="00C41D9D"/>
    <w:rsid w:val="00C422FE"/>
    <w:rsid w:val="00C44058"/>
    <w:rsid w:val="00C55F73"/>
    <w:rsid w:val="00C57B5F"/>
    <w:rsid w:val="00C62400"/>
    <w:rsid w:val="00C628B1"/>
    <w:rsid w:val="00C637D4"/>
    <w:rsid w:val="00C672A1"/>
    <w:rsid w:val="00C702C7"/>
    <w:rsid w:val="00C712BA"/>
    <w:rsid w:val="00C77FCF"/>
    <w:rsid w:val="00C836B7"/>
    <w:rsid w:val="00C87667"/>
    <w:rsid w:val="00CA11E2"/>
    <w:rsid w:val="00CA5D0F"/>
    <w:rsid w:val="00CB1CFA"/>
    <w:rsid w:val="00CB3710"/>
    <w:rsid w:val="00CB3C1E"/>
    <w:rsid w:val="00CB66E2"/>
    <w:rsid w:val="00CC240B"/>
    <w:rsid w:val="00CC4385"/>
    <w:rsid w:val="00CD0094"/>
    <w:rsid w:val="00CD27A0"/>
    <w:rsid w:val="00CE47B7"/>
    <w:rsid w:val="00CF20B7"/>
    <w:rsid w:val="00CF2E7F"/>
    <w:rsid w:val="00CF3E4C"/>
    <w:rsid w:val="00CF47F2"/>
    <w:rsid w:val="00CF518A"/>
    <w:rsid w:val="00D0070B"/>
    <w:rsid w:val="00D06C3B"/>
    <w:rsid w:val="00D16F6B"/>
    <w:rsid w:val="00D20251"/>
    <w:rsid w:val="00D2283C"/>
    <w:rsid w:val="00D22D92"/>
    <w:rsid w:val="00D25D76"/>
    <w:rsid w:val="00D30B77"/>
    <w:rsid w:val="00D31CD5"/>
    <w:rsid w:val="00D323D2"/>
    <w:rsid w:val="00D323E1"/>
    <w:rsid w:val="00D365D8"/>
    <w:rsid w:val="00D55D97"/>
    <w:rsid w:val="00D56184"/>
    <w:rsid w:val="00D65510"/>
    <w:rsid w:val="00D6676C"/>
    <w:rsid w:val="00D8011F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D1846"/>
    <w:rsid w:val="00DE7900"/>
    <w:rsid w:val="00DF51C1"/>
    <w:rsid w:val="00DF6AD0"/>
    <w:rsid w:val="00E04245"/>
    <w:rsid w:val="00E063D3"/>
    <w:rsid w:val="00E07780"/>
    <w:rsid w:val="00E170EB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91A17"/>
    <w:rsid w:val="00EA1533"/>
    <w:rsid w:val="00EA343B"/>
    <w:rsid w:val="00EB08C3"/>
    <w:rsid w:val="00EB1061"/>
    <w:rsid w:val="00EB1A02"/>
    <w:rsid w:val="00EB1CED"/>
    <w:rsid w:val="00EB4BCF"/>
    <w:rsid w:val="00EB4FEC"/>
    <w:rsid w:val="00EB7786"/>
    <w:rsid w:val="00EC0B90"/>
    <w:rsid w:val="00EC7D69"/>
    <w:rsid w:val="00ED0974"/>
    <w:rsid w:val="00ED30E5"/>
    <w:rsid w:val="00ED4ABE"/>
    <w:rsid w:val="00ED6758"/>
    <w:rsid w:val="00ED6EF9"/>
    <w:rsid w:val="00EE3D6B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6BF7"/>
    <w:rsid w:val="00F31332"/>
    <w:rsid w:val="00F31CA7"/>
    <w:rsid w:val="00F31D93"/>
    <w:rsid w:val="00F31F95"/>
    <w:rsid w:val="00F3677A"/>
    <w:rsid w:val="00F4044A"/>
    <w:rsid w:val="00F419CD"/>
    <w:rsid w:val="00F41C90"/>
    <w:rsid w:val="00F44389"/>
    <w:rsid w:val="00F4694F"/>
    <w:rsid w:val="00F60087"/>
    <w:rsid w:val="00F62792"/>
    <w:rsid w:val="00F704CD"/>
    <w:rsid w:val="00F7423C"/>
    <w:rsid w:val="00F755C4"/>
    <w:rsid w:val="00F83875"/>
    <w:rsid w:val="00F86BCB"/>
    <w:rsid w:val="00F9645B"/>
    <w:rsid w:val="00F97B2C"/>
    <w:rsid w:val="00FA3B67"/>
    <w:rsid w:val="00FA540C"/>
    <w:rsid w:val="00FB62A6"/>
    <w:rsid w:val="00FC1110"/>
    <w:rsid w:val="00FC3BE4"/>
    <w:rsid w:val="00FD4FA5"/>
    <w:rsid w:val="00FD6043"/>
    <w:rsid w:val="00FE2E5F"/>
    <w:rsid w:val="00FE3F1A"/>
    <w:rsid w:val="00FF13E9"/>
    <w:rsid w:val="00FF21B3"/>
    <w:rsid w:val="00FF4A2F"/>
    <w:rsid w:val="18984928"/>
    <w:rsid w:val="189C2AEF"/>
    <w:rsid w:val="2CEC13A9"/>
    <w:rsid w:val="2F18322A"/>
    <w:rsid w:val="39E22AE7"/>
    <w:rsid w:val="48340C07"/>
    <w:rsid w:val="51AA02F7"/>
    <w:rsid w:val="552330E2"/>
    <w:rsid w:val="63B45DF5"/>
    <w:rsid w:val="655D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0" w:semiHidden="0" w:name="toc 1" w:locked="1"/>
    <w:lsdException w:uiPriority="0" w:semiHidden="0" w:name="toc 2" w:locked="1"/>
    <w:lsdException w:uiPriority="0" w:semiHidden="0" w:name="toc 3" w:locked="1"/>
    <w:lsdException w:uiPriority="0" w:semiHidden="0" w:name="toc 4" w:locked="1"/>
    <w:lsdException w:uiPriority="0" w:semiHidden="0" w:name="toc 5" w:locked="1"/>
    <w:lsdException w:uiPriority="0" w:semiHidden="0" w:name="toc 6" w:locked="1"/>
    <w:lsdException w:uiPriority="0" w:semiHidden="0" w:name="toc 7" w:locked="1"/>
    <w:lsdException w:uiPriority="0" w:semiHidden="0" w:name="toc 8" w:locked="1"/>
    <w:lsdException w:uiPriority="0" w:semiHidden="0" w:name="toc 9" w:locked="1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tabs>
        <w:tab w:val="left" w:pos="720"/>
      </w:tabs>
      <w:adjustRightInd w:val="0"/>
      <w:snapToGrid w:val="0"/>
      <w:spacing w:beforeLines="100" w:afterLines="100"/>
      <w:ind w:firstLine="627" w:firstLineChars="196"/>
      <w:outlineLvl w:val="0"/>
    </w:pPr>
    <w:rPr>
      <w:rFonts w:ascii="黑体" w:hAnsi="黑体" w:eastAsia="黑体"/>
      <w:color w:val="000000"/>
      <w:sz w:val="32"/>
      <w:szCs w:val="32"/>
    </w:rPr>
  </w:style>
  <w:style w:type="paragraph" w:styleId="3">
    <w:name w:val="heading 2"/>
    <w:basedOn w:val="1"/>
    <w:next w:val="1"/>
    <w:link w:val="20"/>
    <w:qFormat/>
    <w:uiPriority w:val="99"/>
    <w:pPr>
      <w:adjustRightInd w:val="0"/>
      <w:snapToGrid w:val="0"/>
      <w:spacing w:beforeLines="50" w:afterLines="50"/>
      <w:ind w:firstLine="560" w:firstLineChars="200"/>
      <w:outlineLvl w:val="1"/>
    </w:pPr>
    <w:rPr>
      <w:rFonts w:ascii="黑体" w:hAnsi="黑体" w:eastAsia="黑体"/>
      <w:color w:val="000000"/>
      <w:sz w:val="28"/>
      <w:szCs w:val="28"/>
    </w:rPr>
  </w:style>
  <w:style w:type="paragraph" w:styleId="4">
    <w:name w:val="heading 3"/>
    <w:basedOn w:val="1"/>
    <w:next w:val="1"/>
    <w:link w:val="21"/>
    <w:qFormat/>
    <w:uiPriority w:val="99"/>
    <w:pPr>
      <w:autoSpaceDE w:val="0"/>
      <w:autoSpaceDN w:val="0"/>
      <w:adjustRightInd w:val="0"/>
      <w:spacing w:line="360" w:lineRule="auto"/>
      <w:ind w:firstLine="516" w:firstLineChars="214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qFormat/>
    <w:uiPriority w:val="0"/>
    <w:pPr>
      <w:jc w:val="left"/>
    </w:pPr>
    <w:rPr>
      <w:kern w:val="0"/>
      <w:sz w:val="24"/>
      <w:szCs w:val="20"/>
    </w:rPr>
  </w:style>
  <w:style w:type="paragraph" w:styleId="6">
    <w:name w:val="Plain Text"/>
    <w:basedOn w:val="1"/>
    <w:link w:val="31"/>
    <w:qFormat/>
    <w:uiPriority w:val="0"/>
    <w:rPr>
      <w:rFonts w:ascii="宋体" w:hAnsi="Courier New" w:cs="Courier New"/>
      <w:iCs/>
      <w:color w:val="000000"/>
      <w:szCs w:val="21"/>
    </w:rPr>
  </w:style>
  <w:style w:type="paragraph" w:styleId="7">
    <w:name w:val="Balloon Text"/>
    <w:basedOn w:val="1"/>
    <w:link w:val="26"/>
    <w:semiHidden/>
    <w:qFormat/>
    <w:uiPriority w:val="99"/>
    <w:rPr>
      <w:sz w:val="18"/>
      <w:szCs w:val="18"/>
    </w:rPr>
  </w:style>
  <w:style w:type="paragraph" w:styleId="8">
    <w:name w:val="footer"/>
    <w:basedOn w:val="1"/>
    <w:link w:val="2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annotation subject"/>
    <w:basedOn w:val="5"/>
    <w:next w:val="5"/>
    <w:link w:val="27"/>
    <w:semiHidden/>
    <w:qFormat/>
    <w:uiPriority w:val="99"/>
    <w:rPr>
      <w:b/>
      <w:bCs/>
      <w:szCs w:val="22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Emphasis"/>
    <w:basedOn w:val="14"/>
    <w:qFormat/>
    <w:locked/>
    <w:uiPriority w:val="20"/>
    <w:rPr>
      <w:i/>
      <w:iCs/>
    </w:rPr>
  </w:style>
  <w:style w:type="character" w:styleId="17">
    <w:name w:val="Hyperlink"/>
    <w:basedOn w:val="14"/>
    <w:qFormat/>
    <w:uiPriority w:val="99"/>
    <w:rPr>
      <w:rFonts w:cs="Times New Roman"/>
      <w:color w:val="0000FF"/>
      <w:u w:val="single"/>
    </w:rPr>
  </w:style>
  <w:style w:type="character" w:styleId="18">
    <w:name w:val="annotation reference"/>
    <w:basedOn w:val="14"/>
    <w:qFormat/>
    <w:uiPriority w:val="0"/>
    <w:rPr>
      <w:rFonts w:cs="Times New Roman"/>
      <w:sz w:val="21"/>
    </w:rPr>
  </w:style>
  <w:style w:type="character" w:customStyle="1" w:styleId="19">
    <w:name w:val="标题 1 Char"/>
    <w:basedOn w:val="14"/>
    <w:link w:val="2"/>
    <w:qFormat/>
    <w:locked/>
    <w:uiPriority w:val="99"/>
    <w:rPr>
      <w:rFonts w:ascii="黑体" w:hAnsi="黑体" w:eastAsia="黑体" w:cs="Times New Roman"/>
      <w:color w:val="000000"/>
      <w:sz w:val="32"/>
      <w:szCs w:val="32"/>
    </w:rPr>
  </w:style>
  <w:style w:type="character" w:customStyle="1" w:styleId="20">
    <w:name w:val="标题 2 Char"/>
    <w:basedOn w:val="14"/>
    <w:link w:val="3"/>
    <w:qFormat/>
    <w:locked/>
    <w:uiPriority w:val="99"/>
    <w:rPr>
      <w:rFonts w:ascii="黑体" w:hAnsi="黑体" w:eastAsia="黑体" w:cs="Times New Roman"/>
      <w:color w:val="000000"/>
      <w:sz w:val="28"/>
      <w:szCs w:val="28"/>
    </w:rPr>
  </w:style>
  <w:style w:type="character" w:customStyle="1" w:styleId="21">
    <w:name w:val="标题 3 Char"/>
    <w:basedOn w:val="14"/>
    <w:link w:val="4"/>
    <w:qFormat/>
    <w:locked/>
    <w:uiPriority w:val="99"/>
    <w:rPr>
      <w:rFonts w:ascii="宋体" w:eastAsia="宋体" w:cs="仿宋_GB2312"/>
      <w:b/>
      <w:bCs/>
      <w:sz w:val="24"/>
      <w:szCs w:val="24"/>
    </w:rPr>
  </w:style>
  <w:style w:type="character" w:customStyle="1" w:styleId="22">
    <w:name w:val="Comment Text Char"/>
    <w:qFormat/>
    <w:locked/>
    <w:uiPriority w:val="99"/>
    <w:rPr>
      <w:rFonts w:eastAsia="宋体"/>
      <w:sz w:val="24"/>
    </w:rPr>
  </w:style>
  <w:style w:type="character" w:customStyle="1" w:styleId="23">
    <w:name w:val="批注文字 Char"/>
    <w:basedOn w:val="14"/>
    <w:link w:val="5"/>
    <w:qFormat/>
    <w:locked/>
    <w:uiPriority w:val="0"/>
    <w:rPr>
      <w:rFonts w:cs="Times New Roman"/>
    </w:rPr>
  </w:style>
  <w:style w:type="character" w:customStyle="1" w:styleId="24">
    <w:name w:val="批注文字 Char1"/>
    <w:basedOn w:val="14"/>
    <w:semiHidden/>
    <w:qFormat/>
    <w:uiPriority w:val="99"/>
    <w:rPr>
      <w:rFonts w:cs="Times New Roman"/>
    </w:rPr>
  </w:style>
  <w:style w:type="paragraph" w:customStyle="1" w:styleId="25">
    <w:name w:val="Char Char Char Char"/>
    <w:basedOn w:val="1"/>
    <w:qFormat/>
    <w:uiPriority w:val="99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26">
    <w:name w:val="批注框文本 Char"/>
    <w:basedOn w:val="14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27">
    <w:name w:val="批注主题 Char"/>
    <w:basedOn w:val="22"/>
    <w:link w:val="11"/>
    <w:semiHidden/>
    <w:qFormat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28">
    <w:name w:val="页脚 Char"/>
    <w:basedOn w:val="14"/>
    <w:link w:val="8"/>
    <w:qFormat/>
    <w:locked/>
    <w:uiPriority w:val="99"/>
    <w:rPr>
      <w:rFonts w:cs="Times New Roman"/>
      <w:sz w:val="18"/>
      <w:szCs w:val="18"/>
    </w:rPr>
  </w:style>
  <w:style w:type="character" w:customStyle="1" w:styleId="29">
    <w:name w:val="页眉 Char"/>
    <w:basedOn w:val="14"/>
    <w:link w:val="9"/>
    <w:semiHidden/>
    <w:qFormat/>
    <w:locked/>
    <w:uiPriority w:val="99"/>
    <w:rPr>
      <w:rFonts w:cs="Times New Roman"/>
      <w:sz w:val="18"/>
      <w:szCs w:val="18"/>
    </w:rPr>
  </w:style>
  <w:style w:type="character" w:customStyle="1" w:styleId="30">
    <w:name w:val="Plain Text Char"/>
    <w:basedOn w:val="14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31">
    <w:name w:val="纯文本 Char"/>
    <w:basedOn w:val="14"/>
    <w:link w:val="6"/>
    <w:qFormat/>
    <w:locked/>
    <w:uiPriority w:val="99"/>
    <w:rPr>
      <w:rFonts w:ascii="宋体" w:hAnsi="Courier New" w:eastAsia="宋体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32">
    <w:name w:val="apple-converted-space"/>
    <w:basedOn w:val="14"/>
    <w:qFormat/>
    <w:uiPriority w:val="99"/>
    <w:rPr>
      <w:rFonts w:cs="Times New Roman"/>
    </w:rPr>
  </w:style>
  <w:style w:type="paragraph" w:customStyle="1" w:styleId="33">
    <w:name w:val="List Paragraph1"/>
    <w:basedOn w:val="1"/>
    <w:qFormat/>
    <w:uiPriority w:val="99"/>
    <w:pPr>
      <w:ind w:firstLine="420" w:firstLineChars="200"/>
    </w:pPr>
  </w:style>
  <w:style w:type="paragraph" w:customStyle="1" w:styleId="3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5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6">
    <w:name w:val="xl66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7">
    <w:name w:val="xl67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8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39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43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5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6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8">
    <w:name w:val="xl7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49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50">
    <w:name w:val="xl80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1">
    <w:name w:val="xl81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2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3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4">
    <w:name w:val="xl84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5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6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7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88"/>
    <w:basedOn w:val="1"/>
    <w:qFormat/>
    <w:uiPriority w:val="0"/>
    <w:pPr>
      <w:widowControl/>
      <w:pBdr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9">
    <w:name w:val="xl8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0">
    <w:name w:val="xl9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61">
    <w:name w:val="xl91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2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3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4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5">
    <w:name w:val="xl95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6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7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8">
    <w:name w:val="xl98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9">
    <w:name w:val="xl9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0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1">
    <w:name w:val="xl1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2">
    <w:name w:val="xl102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3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4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5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6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7">
    <w:name w:val="xl10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8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9">
    <w:name w:val="xl10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0">
    <w:name w:val="xl110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1">
    <w:name w:val="xl1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2">
    <w:name w:val="xl112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3">
    <w:name w:val="xl11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4">
    <w:name w:val="xl11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5">
    <w:name w:val="xl115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6">
    <w:name w:val="xl116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7">
    <w:name w:val="xl117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9">
    <w:name w:val="xl119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0">
    <w:name w:val="xl120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1">
    <w:name w:val="xl12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12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12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4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5">
    <w:name w:val="xl125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1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8">
    <w:name w:val="xl12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12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130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1">
    <w:name w:val="xl13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13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1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4">
    <w:name w:val="xl13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1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106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07">
    <w:name w:val="纯文本 字符1"/>
    <w:qFormat/>
    <w:uiPriority w:val="0"/>
    <w:rPr>
      <w:rFonts w:eastAsia="宋体"/>
    </w:rPr>
  </w:style>
  <w:style w:type="paragraph" w:customStyle="1" w:styleId="108">
    <w:name w:val="样式1"/>
    <w:basedOn w:val="1"/>
    <w:qFormat/>
    <w:uiPriority w:val="0"/>
    <w:pPr>
      <w:widowControl/>
      <w:jc w:val="left"/>
    </w:pPr>
    <w:rPr>
      <w:rFonts w:ascii="Times New Roman" w:hAnsi="Times New Roman"/>
      <w:kern w:val="0"/>
      <w:sz w:val="24"/>
      <w:szCs w:val="24"/>
      <w:lang w:eastAsia="en-US" w:bidi="en-US"/>
    </w:rPr>
  </w:style>
  <w:style w:type="paragraph" w:customStyle="1" w:styleId="109">
    <w:name w:val="表格"/>
    <w:basedOn w:val="1"/>
    <w:link w:val="110"/>
    <w:qFormat/>
    <w:uiPriority w:val="0"/>
    <w:pPr>
      <w:adjustRightInd w:val="0"/>
      <w:snapToGrid w:val="0"/>
      <w:jc w:val="center"/>
    </w:pPr>
    <w:rPr>
      <w:rFonts w:ascii="宋体" w:hAnsi="宋体" w:cstheme="minorBidi"/>
      <w:color w:val="000000" w:themeColor="text1"/>
      <w:szCs w:val="21"/>
    </w:rPr>
  </w:style>
  <w:style w:type="character" w:customStyle="1" w:styleId="110">
    <w:name w:val="表格 字符"/>
    <w:basedOn w:val="14"/>
    <w:link w:val="109"/>
    <w:qFormat/>
    <w:uiPriority w:val="0"/>
    <w:rPr>
      <w:rFonts w:ascii="宋体" w:hAnsi="宋体" w:cstheme="minorBidi"/>
      <w:color w:val="000000" w:themeColor="text1"/>
      <w:kern w:val="2"/>
      <w:sz w:val="21"/>
      <w:szCs w:val="21"/>
    </w:rPr>
  </w:style>
  <w:style w:type="paragraph" w:customStyle="1" w:styleId="111">
    <w:name w:val="框架内容"/>
    <w:basedOn w:val="1"/>
    <w:qFormat/>
    <w:uiPriority w:val="0"/>
    <w:pPr>
      <w:snapToGrid w:val="0"/>
      <w:spacing w:line="360" w:lineRule="auto"/>
      <w:ind w:firstLine="480"/>
    </w:pPr>
    <w:rPr>
      <w:rFonts w:ascii="宋体" w:hAnsi="宋体"/>
      <w:color w:val="00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2FE44A-1300-4E48-AD4B-C1681DA2F7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admin</Company>
  <Pages>3</Pages>
  <Words>1269</Words>
  <Characters>1325</Characters>
  <Lines>9</Lines>
  <Paragraphs>2</Paragraphs>
  <TotalTime>4</TotalTime>
  <ScaleCrop>false</ScaleCrop>
  <LinksUpToDate>false</LinksUpToDate>
  <CharactersWithSpaces>1331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2018-09-12T15:17:00Z</dcterms:created>
  <dc:creator>王涛</dc:creator>
  <cp:lastModifiedBy>竹君</cp:lastModifiedBy>
  <dcterms:modified xsi:type="dcterms:W3CDTF">2026-06-26T06:56:58Z</dcterms:modified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B91F29064D844BDC912A24F971DF3B16</vt:lpwstr>
  </property>
  <property fmtid="{D5CDD505-2E9C-101B-9397-08002B2CF9AE}" pid="4" name="KSOTemplateDocerSaveRecord">
    <vt:lpwstr>eyJoZGlkIjoiMGQxZTQ4ZWQwN2VjYzM0OGQ1Y2NhY2I0MTQ3YjVkYmUiLCJ1c2VySWQiOiI4OTA1OTA3NjAifQ==</vt:lpwstr>
  </property>
</Properties>
</file>